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cs="宋体"/>
          <w:bCs/>
          <w:color w:val="000000"/>
          <w:spacing w:val="30"/>
          <w:kern w:val="0"/>
          <w:szCs w:val="21"/>
        </w:rPr>
      </w:pPr>
      <w:r>
        <w:rPr>
          <w:rFonts w:hint="eastAsia" w:ascii="方正黑体简体" w:eastAsia="方正黑体简体"/>
          <w:b/>
          <w:sz w:val="40"/>
          <w:szCs w:val="40"/>
        </w:rPr>
        <w:t>广东药学院教学奖励暂行办法</w:t>
      </w:r>
    </w:p>
    <w:p>
      <w:pPr>
        <w:spacing w:before="156" w:beforeLines="50" w:after="156" w:afterLines="50" w:line="340" w:lineRule="atLeast"/>
        <w:ind w:right="40"/>
        <w:jc w:val="center"/>
        <w:rPr>
          <w:rFonts w:hint="eastAsia" w:ascii="宋体" w:hAnsi="宋体"/>
          <w:sz w:val="24"/>
        </w:rPr>
      </w:pPr>
      <w:r>
        <w:rPr>
          <w:rFonts w:hint="eastAsia" w:ascii="宋体" w:hAnsi="宋体"/>
          <w:sz w:val="24"/>
        </w:rPr>
        <w:t>　广药〔2009〕14号</w:t>
      </w:r>
    </w:p>
    <w:p>
      <w:pPr>
        <w:widowControl/>
        <w:spacing w:before="156" w:beforeLines="50" w:after="156" w:afterLines="50" w:line="340" w:lineRule="atLeast"/>
        <w:jc w:val="center"/>
        <w:rPr>
          <w:rFonts w:hint="eastAsia" w:ascii="宋体" w:hAnsi="宋体" w:cs="宋体"/>
          <w:color w:val="000000"/>
          <w:kern w:val="0"/>
          <w:sz w:val="28"/>
          <w:szCs w:val="28"/>
        </w:rPr>
      </w:pPr>
      <w:r>
        <w:rPr>
          <w:rFonts w:hint="eastAsia" w:ascii="宋体" w:hAnsi="宋体" w:cs="宋体"/>
          <w:bCs/>
          <w:color w:val="000000"/>
          <w:kern w:val="0"/>
          <w:sz w:val="28"/>
          <w:szCs w:val="28"/>
        </w:rPr>
        <w:t>第一章  总 则</w:t>
      </w:r>
    </w:p>
    <w:p>
      <w:pPr>
        <w:widowControl/>
        <w:spacing w:line="380" w:lineRule="atLeast"/>
        <w:ind w:firstLine="411" w:firstLineChars="196"/>
        <w:rPr>
          <w:rFonts w:hint="eastAsia" w:ascii="宋体" w:hAnsi="宋体" w:cs="宋体"/>
          <w:color w:val="000000"/>
          <w:kern w:val="0"/>
          <w:szCs w:val="21"/>
        </w:rPr>
      </w:pPr>
      <w:r>
        <w:rPr>
          <w:rFonts w:hint="eastAsia" w:ascii="宋体" w:hAnsi="宋体" w:cs="宋体"/>
          <w:bCs/>
          <w:color w:val="000000"/>
          <w:kern w:val="0"/>
          <w:szCs w:val="21"/>
        </w:rPr>
        <w:t>第一条　</w:t>
      </w:r>
      <w:r>
        <w:rPr>
          <w:rFonts w:hint="eastAsia" w:ascii="宋体" w:hAnsi="宋体" w:cs="宋体"/>
          <w:kern w:val="0"/>
          <w:szCs w:val="21"/>
        </w:rPr>
        <w:t>教学工作是学院的中心工作，提高教学质量是学院工作永恒的主题。为进一步加强我院教学工作，充分调动二级教学单位及教师对教学工作的积极性和创造性，</w:t>
      </w:r>
      <w:r>
        <w:rPr>
          <w:rFonts w:hint="eastAsia" w:ascii="宋体" w:hAnsi="宋体" w:cs="宋体"/>
          <w:color w:val="000000"/>
          <w:kern w:val="0"/>
          <w:szCs w:val="21"/>
        </w:rPr>
        <w:t>大力促进教学内涵建设及教学改革工作的开展，全面提高教学质量和水平，提升我院的教育教学竞争实力，根据国家和广东省有关政策规定的精神，结合我院实际，特制定本办法。</w:t>
      </w:r>
    </w:p>
    <w:p>
      <w:pPr>
        <w:widowControl/>
        <w:spacing w:line="380" w:lineRule="atLeast"/>
        <w:ind w:firstLine="420" w:firstLineChars="200"/>
        <w:jc w:val="left"/>
        <w:rPr>
          <w:rFonts w:hint="eastAsia" w:ascii="宋体" w:hAnsi="宋体" w:cs="宋体"/>
          <w:kern w:val="0"/>
          <w:szCs w:val="21"/>
        </w:rPr>
      </w:pPr>
      <w:r>
        <w:rPr>
          <w:rFonts w:hint="eastAsia" w:ascii="宋体" w:hAnsi="宋体" w:cs="宋体"/>
          <w:bCs/>
          <w:color w:val="000000"/>
          <w:kern w:val="0"/>
          <w:szCs w:val="21"/>
        </w:rPr>
        <w:t xml:space="preserve">第二条  </w:t>
      </w:r>
      <w:r>
        <w:rPr>
          <w:rFonts w:hint="eastAsia" w:ascii="宋体" w:hAnsi="宋体" w:cs="宋体"/>
          <w:kern w:val="0"/>
          <w:szCs w:val="21"/>
        </w:rPr>
        <w:t>本办法只对获得国家及省教育主管部门批准的教学建设或奖励项目进行奖励，其他组织如各类学会等的立项或奖励，不列入奖励范围。</w:t>
      </w:r>
    </w:p>
    <w:p>
      <w:pPr>
        <w:widowControl/>
        <w:spacing w:line="380" w:lineRule="atLeast"/>
        <w:ind w:firstLine="420" w:firstLineChars="200"/>
        <w:jc w:val="left"/>
        <w:rPr>
          <w:rFonts w:hint="eastAsia" w:ascii="宋体" w:hAnsi="宋体" w:cs="宋体"/>
          <w:color w:val="000000"/>
          <w:kern w:val="0"/>
          <w:szCs w:val="21"/>
        </w:rPr>
      </w:pPr>
      <w:r>
        <w:rPr>
          <w:rFonts w:hint="eastAsia" w:ascii="宋体" w:hAnsi="宋体" w:cs="宋体"/>
          <w:bCs/>
          <w:color w:val="000000"/>
          <w:kern w:val="0"/>
          <w:szCs w:val="21"/>
        </w:rPr>
        <w:t xml:space="preserve">第三条  </w:t>
      </w:r>
      <w:r>
        <w:rPr>
          <w:rFonts w:hint="eastAsia" w:ascii="宋体" w:hAnsi="宋体" w:cs="宋体"/>
          <w:color w:val="000000"/>
          <w:kern w:val="0"/>
          <w:szCs w:val="21"/>
        </w:rPr>
        <w:t>教学奖励经费由学院专项划拨。</w:t>
      </w:r>
    </w:p>
    <w:p>
      <w:pPr>
        <w:widowControl/>
        <w:spacing w:line="380" w:lineRule="atLeast"/>
        <w:ind w:firstLine="411" w:firstLineChars="196"/>
        <w:jc w:val="left"/>
        <w:rPr>
          <w:rFonts w:hint="eastAsia" w:ascii="宋体" w:hAnsi="宋体" w:cs="宋体"/>
          <w:color w:val="000000"/>
          <w:kern w:val="0"/>
          <w:szCs w:val="21"/>
        </w:rPr>
      </w:pPr>
      <w:r>
        <w:rPr>
          <w:rFonts w:hint="eastAsia" w:ascii="宋体" w:hAnsi="宋体" w:cs="宋体"/>
          <w:color w:val="000000"/>
          <w:kern w:val="0"/>
          <w:szCs w:val="21"/>
        </w:rPr>
        <w:t>第四条　教学奖励工作每两年组织一次，由教务处负责实施。</w:t>
      </w:r>
    </w:p>
    <w:p>
      <w:pPr>
        <w:widowControl/>
        <w:numPr>
          <w:ilvl w:val="0"/>
          <w:numId w:val="1"/>
        </w:numPr>
        <w:spacing w:before="156" w:beforeLines="50" w:after="156" w:afterLines="50" w:line="380" w:lineRule="atLeast"/>
        <w:ind w:left="1123" w:hanging="1123"/>
        <w:jc w:val="center"/>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奖励种类</w:t>
      </w:r>
    </w:p>
    <w:p>
      <w:pPr>
        <w:widowControl/>
        <w:spacing w:line="380" w:lineRule="atLeast"/>
        <w:ind w:firstLine="420" w:firstLineChars="200"/>
        <w:rPr>
          <w:rFonts w:hint="eastAsia" w:ascii="宋体" w:hAnsi="宋体" w:cs="宋体"/>
          <w:kern w:val="0"/>
          <w:szCs w:val="21"/>
        </w:rPr>
      </w:pPr>
      <w:r>
        <w:rPr>
          <w:rFonts w:hint="eastAsia" w:ascii="宋体" w:hAnsi="宋体" w:cs="宋体"/>
          <w:kern w:val="0"/>
          <w:szCs w:val="21"/>
        </w:rPr>
        <w:t>第五条  本办法奖励种类主要分为：教学成果类、专业建设类、课程建设类、教材及资源建设类、人才培养模式及教改项目类、教师类及其他类。</w:t>
      </w:r>
    </w:p>
    <w:p>
      <w:pPr>
        <w:widowControl/>
        <w:spacing w:line="380" w:lineRule="atLeast"/>
        <w:ind w:firstLine="420" w:firstLineChars="200"/>
        <w:rPr>
          <w:rFonts w:hint="eastAsia" w:ascii="宋体" w:hAnsi="宋体" w:cs="宋体"/>
          <w:kern w:val="0"/>
          <w:szCs w:val="21"/>
        </w:rPr>
      </w:pPr>
      <w:r>
        <w:rPr>
          <w:rFonts w:hint="eastAsia" w:ascii="宋体" w:hAnsi="宋体" w:cs="宋体"/>
          <w:kern w:val="0"/>
          <w:szCs w:val="21"/>
        </w:rPr>
        <w:t>(一) 教学成果类对国家级教学成果、省级教学成果进行奖励；</w:t>
      </w:r>
    </w:p>
    <w:p>
      <w:pPr>
        <w:widowControl/>
        <w:spacing w:line="380" w:lineRule="atLeast"/>
        <w:ind w:firstLine="420" w:firstLineChars="200"/>
        <w:rPr>
          <w:rFonts w:hint="eastAsia" w:ascii="宋体" w:hAnsi="宋体" w:cs="宋体"/>
          <w:kern w:val="0"/>
          <w:szCs w:val="21"/>
        </w:rPr>
      </w:pPr>
      <w:r>
        <w:rPr>
          <w:rFonts w:hint="eastAsia" w:ascii="宋体" w:hAnsi="宋体" w:cs="宋体"/>
          <w:kern w:val="0"/>
          <w:szCs w:val="21"/>
        </w:rPr>
        <w:t>(二) 人才培养模式及教改项目类对国家级人才培养模式创新试验区、国家级实验教学示范中心、国家级教改项目、省级人才培养模式创新试验区、省级实验教学示范中心和省级教改项目等进行奖励；</w:t>
      </w:r>
    </w:p>
    <w:p>
      <w:pPr>
        <w:widowControl/>
        <w:spacing w:line="380" w:lineRule="atLeast"/>
        <w:ind w:firstLine="420" w:firstLineChars="200"/>
        <w:jc w:val="left"/>
        <w:rPr>
          <w:rFonts w:hint="eastAsia" w:ascii="宋体" w:hAnsi="宋体" w:cs="宋体"/>
          <w:kern w:val="0"/>
          <w:szCs w:val="21"/>
        </w:rPr>
      </w:pPr>
      <w:r>
        <w:rPr>
          <w:rFonts w:hint="eastAsia" w:ascii="宋体" w:hAnsi="宋体" w:cs="宋体"/>
          <w:kern w:val="0"/>
          <w:szCs w:val="21"/>
        </w:rPr>
        <w:t>(三) 专业建设类对国家级特色专业建设点、省级特色专业建设点进行奖励；</w:t>
      </w:r>
    </w:p>
    <w:p>
      <w:pPr>
        <w:widowControl/>
        <w:spacing w:line="380" w:lineRule="atLeast"/>
        <w:ind w:firstLine="420" w:firstLineChars="200"/>
        <w:rPr>
          <w:rFonts w:hint="eastAsia" w:ascii="宋体" w:hAnsi="宋体" w:cs="宋体"/>
          <w:kern w:val="0"/>
          <w:szCs w:val="21"/>
        </w:rPr>
      </w:pPr>
      <w:r>
        <w:rPr>
          <w:rFonts w:hint="eastAsia" w:ascii="宋体" w:hAnsi="宋体" w:cs="宋体"/>
          <w:kern w:val="0"/>
          <w:szCs w:val="21"/>
        </w:rPr>
        <w:t>(四) 课程建设类对国家级精品课程、国家级双语教学示范课程、省级精品课程、省级双语教学示范课程和广东省高校思想政治理论课优质课程等进行奖励；</w:t>
      </w:r>
    </w:p>
    <w:p>
      <w:pPr>
        <w:widowControl/>
        <w:spacing w:line="380" w:lineRule="atLeast"/>
        <w:ind w:firstLine="420" w:firstLineChars="200"/>
        <w:jc w:val="left"/>
        <w:rPr>
          <w:rFonts w:hint="eastAsia" w:ascii="宋体" w:hAnsi="宋体" w:cs="宋体"/>
          <w:kern w:val="0"/>
          <w:szCs w:val="21"/>
        </w:rPr>
      </w:pPr>
      <w:r>
        <w:rPr>
          <w:rFonts w:hint="eastAsia" w:ascii="宋体" w:hAnsi="宋体" w:cs="宋体"/>
          <w:kern w:val="0"/>
          <w:szCs w:val="21"/>
        </w:rPr>
        <w:t>(五) 教材及资源建设类对各类公开出版的教材、全国多媒体教育软件大奖赛、全国多媒体课件大赛等进行奖励；</w:t>
      </w:r>
    </w:p>
    <w:p>
      <w:pPr>
        <w:widowControl/>
        <w:spacing w:line="380" w:lineRule="atLeast"/>
        <w:ind w:firstLine="420" w:firstLineChars="200"/>
        <w:jc w:val="left"/>
        <w:rPr>
          <w:rFonts w:hint="eastAsia" w:ascii="宋体" w:hAnsi="宋体" w:cs="宋体"/>
          <w:kern w:val="0"/>
          <w:szCs w:val="21"/>
        </w:rPr>
      </w:pPr>
      <w:r>
        <w:rPr>
          <w:rFonts w:hint="eastAsia" w:ascii="宋体" w:hAnsi="宋体" w:cs="宋体"/>
          <w:kern w:val="0"/>
          <w:szCs w:val="21"/>
        </w:rPr>
        <w:t>(六) 教师类对国家级教学名师、省级教学名师、广东省高校思想政治理论课青年教师教学基本功比赛获奖者等进行奖励；</w:t>
      </w:r>
    </w:p>
    <w:p>
      <w:pPr>
        <w:widowControl/>
        <w:spacing w:line="380" w:lineRule="atLeast"/>
        <w:ind w:firstLine="420" w:firstLineChars="200"/>
        <w:rPr>
          <w:rFonts w:hint="eastAsia" w:ascii="宋体" w:hAnsi="宋体" w:cs="宋体"/>
          <w:kern w:val="0"/>
          <w:szCs w:val="21"/>
        </w:rPr>
      </w:pPr>
      <w:r>
        <w:rPr>
          <w:rFonts w:hint="eastAsia" w:ascii="宋体" w:hAnsi="宋体" w:cs="宋体"/>
          <w:kern w:val="0"/>
          <w:szCs w:val="21"/>
        </w:rPr>
        <w:t>(七) 其他获得国家或省教育主管部门批准的教学建设项目或奖励。</w:t>
      </w:r>
    </w:p>
    <w:p>
      <w:pPr>
        <w:widowControl/>
        <w:numPr>
          <w:ilvl w:val="0"/>
          <w:numId w:val="1"/>
        </w:numPr>
        <w:spacing w:before="156" w:beforeLines="50" w:after="156" w:afterLines="50" w:line="380" w:lineRule="atLeast"/>
        <w:ind w:left="1123" w:hanging="1123"/>
        <w:jc w:val="center"/>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奖励标准</w:t>
      </w:r>
    </w:p>
    <w:p>
      <w:pPr>
        <w:widowControl/>
        <w:spacing w:line="380" w:lineRule="atLeast"/>
        <w:ind w:firstLine="420" w:firstLineChars="200"/>
        <w:jc w:val="left"/>
        <w:rPr>
          <w:rFonts w:hint="eastAsia" w:ascii="宋体" w:hAnsi="宋体" w:cs="宋体"/>
          <w:kern w:val="0"/>
          <w:szCs w:val="21"/>
        </w:rPr>
      </w:pPr>
      <w:r>
        <w:rPr>
          <w:rFonts w:hint="eastAsia" w:ascii="宋体" w:hAnsi="宋体" w:cs="宋体"/>
          <w:kern w:val="0"/>
          <w:szCs w:val="21"/>
        </w:rPr>
        <w:t>第六条  凡我院为第一完成单位获国家级、省级教学奖励或立项的团体或个人，学校将按获奖或立项等级分别给予奖励，具体如下：</w:t>
      </w:r>
    </w:p>
    <w:p>
      <w:pPr>
        <w:widowControl/>
        <w:spacing w:line="340" w:lineRule="atLeast"/>
        <w:ind w:firstLine="420" w:firstLineChars="200"/>
        <w:jc w:val="left"/>
        <w:rPr>
          <w:rFonts w:hint="eastAsia" w:ascii="宋体" w:hAnsi="宋体" w:cs="宋体"/>
          <w:kern w:val="0"/>
          <w:szCs w:val="21"/>
        </w:rPr>
      </w:pPr>
      <w:r>
        <w:rPr>
          <w:rFonts w:hint="eastAsia" w:ascii="宋体" w:hAnsi="宋体" w:cs="宋体"/>
          <w:kern w:val="0"/>
          <w:szCs w:val="21"/>
        </w:rPr>
        <w:t>（一）教学成果类</w:t>
      </w:r>
    </w:p>
    <w:p>
      <w:pPr>
        <w:widowControl/>
        <w:spacing w:line="340" w:lineRule="atLeast"/>
        <w:ind w:left="586"/>
        <w:jc w:val="left"/>
        <w:rPr>
          <w:rFonts w:hint="eastAsia" w:ascii="宋体" w:hAnsi="宋体" w:cs="宋体"/>
          <w:kern w:val="0"/>
          <w:szCs w:val="21"/>
        </w:rPr>
      </w:pPr>
    </w:p>
    <w:tbl>
      <w:tblPr>
        <w:tblStyle w:val="5"/>
        <w:tblW w:w="850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5"/>
        <w:gridCol w:w="2100"/>
        <w:gridCol w:w="16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045"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名称</w:t>
            </w:r>
          </w:p>
        </w:tc>
        <w:tc>
          <w:tcPr>
            <w:tcW w:w="210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奖励等级</w:t>
            </w:r>
          </w:p>
        </w:tc>
        <w:tc>
          <w:tcPr>
            <w:tcW w:w="3360" w:type="dxa"/>
            <w:gridSpan w:val="2"/>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3045" w:type="dxa"/>
            <w:vMerge w:val="continue"/>
            <w:vAlign w:val="center"/>
          </w:tcPr>
          <w:p>
            <w:pPr>
              <w:widowControl/>
              <w:spacing w:line="340" w:lineRule="atLeast"/>
              <w:jc w:val="center"/>
              <w:rPr>
                <w:rFonts w:hint="eastAsia" w:ascii="宋体" w:hAnsi="宋体" w:cs="宋体"/>
                <w:kern w:val="0"/>
                <w:szCs w:val="21"/>
              </w:rPr>
            </w:pPr>
          </w:p>
        </w:tc>
        <w:tc>
          <w:tcPr>
            <w:tcW w:w="2100" w:type="dxa"/>
            <w:vMerge w:val="continue"/>
            <w:vAlign w:val="center"/>
          </w:tcPr>
          <w:p>
            <w:pPr>
              <w:widowControl/>
              <w:spacing w:line="340" w:lineRule="atLeast"/>
              <w:jc w:val="center"/>
              <w:rPr>
                <w:rFonts w:hint="eastAsia" w:ascii="宋体" w:hAnsi="宋体" w:cs="宋体"/>
                <w:kern w:val="0"/>
                <w:szCs w:val="21"/>
              </w:rPr>
            </w:pP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一档</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二档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045"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国家级教学成果奖</w:t>
            </w:r>
          </w:p>
        </w:tc>
        <w:tc>
          <w:tcPr>
            <w:tcW w:w="21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特等奖</w:t>
            </w:r>
          </w:p>
        </w:tc>
        <w:tc>
          <w:tcPr>
            <w:tcW w:w="168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100</w:t>
            </w:r>
          </w:p>
        </w:tc>
        <w:tc>
          <w:tcPr>
            <w:tcW w:w="168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045" w:type="dxa"/>
            <w:vMerge w:val="continue"/>
            <w:vAlign w:val="center"/>
          </w:tcPr>
          <w:p>
            <w:pPr>
              <w:spacing w:line="340" w:lineRule="atLeast"/>
              <w:ind w:left="420"/>
              <w:jc w:val="center"/>
              <w:rPr>
                <w:rFonts w:hint="eastAsia" w:ascii="宋体" w:hAnsi="宋体" w:cs="宋体"/>
                <w:kern w:val="0"/>
                <w:szCs w:val="21"/>
              </w:rPr>
            </w:pPr>
          </w:p>
        </w:tc>
        <w:tc>
          <w:tcPr>
            <w:tcW w:w="210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一等奖</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50</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045" w:type="dxa"/>
            <w:vMerge w:val="continue"/>
            <w:vAlign w:val="center"/>
          </w:tcPr>
          <w:p>
            <w:pPr>
              <w:spacing w:line="340" w:lineRule="atLeast"/>
              <w:ind w:left="420"/>
              <w:jc w:val="center"/>
              <w:rPr>
                <w:rFonts w:hint="eastAsia" w:ascii="宋体" w:hAnsi="宋体" w:cs="宋体"/>
                <w:kern w:val="0"/>
                <w:szCs w:val="21"/>
              </w:rPr>
            </w:pPr>
          </w:p>
        </w:tc>
        <w:tc>
          <w:tcPr>
            <w:tcW w:w="210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二等奖</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30</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045"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省级教学成果奖</w:t>
            </w:r>
          </w:p>
        </w:tc>
        <w:tc>
          <w:tcPr>
            <w:tcW w:w="21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一等奖</w:t>
            </w:r>
          </w:p>
        </w:tc>
        <w:tc>
          <w:tcPr>
            <w:tcW w:w="168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10</w:t>
            </w:r>
          </w:p>
        </w:tc>
        <w:tc>
          <w:tcPr>
            <w:tcW w:w="168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045" w:type="dxa"/>
            <w:vMerge w:val="continue"/>
            <w:vAlign w:val="center"/>
          </w:tcPr>
          <w:p>
            <w:pPr>
              <w:spacing w:line="340" w:lineRule="atLeast"/>
              <w:ind w:left="420"/>
              <w:jc w:val="center"/>
              <w:rPr>
                <w:rFonts w:hint="eastAsia" w:ascii="宋体" w:hAnsi="宋体" w:cs="宋体"/>
                <w:kern w:val="0"/>
                <w:szCs w:val="21"/>
              </w:rPr>
            </w:pPr>
          </w:p>
        </w:tc>
        <w:tc>
          <w:tcPr>
            <w:tcW w:w="210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二等奖</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5</w:t>
            </w:r>
          </w:p>
        </w:tc>
        <w:tc>
          <w:tcPr>
            <w:tcW w:w="168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3</w:t>
            </w:r>
          </w:p>
        </w:tc>
      </w:tr>
    </w:tbl>
    <w:p>
      <w:pPr>
        <w:spacing w:line="340" w:lineRule="exact"/>
        <w:ind w:firstLine="420" w:firstLineChars="200"/>
        <w:rPr>
          <w:rFonts w:hint="eastAsia"/>
        </w:rPr>
      </w:pPr>
      <w:r>
        <w:rPr>
          <w:rFonts w:hint="eastAsia"/>
        </w:rPr>
        <w:t>说明：教学成果奖是与科技成果奖并列的一个教学奖励项目。若奖励单位为国务院及广东省政府，则按一档标准奖励；若奖励单位为教育部及广东省教育厅，则按二档标准奖励。</w:t>
      </w:r>
    </w:p>
    <w:p>
      <w:pPr>
        <w:widowControl/>
        <w:spacing w:before="156" w:beforeLines="50" w:line="340" w:lineRule="atLeast"/>
        <w:ind w:left="481" w:leftChars="229" w:firstLine="105" w:firstLineChars="50"/>
        <w:jc w:val="left"/>
        <w:rPr>
          <w:rFonts w:hint="eastAsia" w:ascii="宋体" w:hAnsi="宋体" w:cs="宋体"/>
          <w:kern w:val="0"/>
          <w:szCs w:val="21"/>
        </w:rPr>
      </w:pPr>
      <w:r>
        <w:rPr>
          <w:rFonts w:hint="eastAsia" w:ascii="宋体" w:hAnsi="宋体" w:cs="宋体"/>
          <w:kern w:val="0"/>
          <w:szCs w:val="21"/>
        </w:rPr>
        <w:t>(二) 人才培养模式及教改项目类</w:t>
      </w:r>
    </w:p>
    <w:tbl>
      <w:tblPr>
        <w:tblStyle w:val="5"/>
        <w:tblW w:w="861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5"/>
        <w:gridCol w:w="3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名    称</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国家级人才培养模式创新试验区</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国家级实验教学示范中心</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国家级重点教改项目(经费≥10万)</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国家级一般教改项目（2万≤经费&lt;10万）</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省级人才培养模式创新试验区</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省级实验教学示范中心</w:t>
            </w:r>
          </w:p>
        </w:tc>
        <w:tc>
          <w:tcPr>
            <w:tcW w:w="304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spacing w:line="340" w:lineRule="atLeast"/>
              <w:rPr>
                <w:rFonts w:hint="eastAsia" w:ascii="宋体" w:hAnsi="宋体" w:cs="宋体"/>
                <w:kern w:val="0"/>
                <w:szCs w:val="21"/>
              </w:rPr>
            </w:pPr>
            <w:r>
              <w:rPr>
                <w:rFonts w:hint="eastAsia" w:ascii="宋体" w:hAnsi="宋体" w:cs="宋体"/>
                <w:kern w:val="0"/>
                <w:szCs w:val="21"/>
              </w:rPr>
              <w:t>省级重点教改项目（经费≥5万）</w:t>
            </w:r>
          </w:p>
        </w:tc>
        <w:tc>
          <w:tcPr>
            <w:tcW w:w="3045"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565" w:type="dxa"/>
            <w:vAlign w:val="center"/>
          </w:tcPr>
          <w:p>
            <w:pPr>
              <w:spacing w:line="340" w:lineRule="atLeast"/>
              <w:rPr>
                <w:rFonts w:hint="eastAsia" w:ascii="宋体" w:hAnsi="宋体" w:cs="宋体"/>
                <w:kern w:val="0"/>
                <w:szCs w:val="21"/>
              </w:rPr>
            </w:pPr>
            <w:r>
              <w:rPr>
                <w:rFonts w:hint="eastAsia" w:ascii="宋体" w:hAnsi="宋体" w:cs="宋体"/>
                <w:kern w:val="0"/>
                <w:szCs w:val="21"/>
              </w:rPr>
              <w:t>省级一般教改项目（经费&lt;5万）</w:t>
            </w:r>
          </w:p>
        </w:tc>
        <w:tc>
          <w:tcPr>
            <w:tcW w:w="3045"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0.3</w:t>
            </w:r>
          </w:p>
        </w:tc>
      </w:tr>
    </w:tbl>
    <w:p>
      <w:pPr>
        <w:widowControl/>
        <w:spacing w:before="156" w:beforeLines="50" w:line="340" w:lineRule="atLeast"/>
        <w:ind w:left="481" w:leftChars="229" w:firstLine="105" w:firstLineChars="50"/>
        <w:jc w:val="left"/>
        <w:rPr>
          <w:rFonts w:hint="eastAsia" w:ascii="宋体" w:hAnsi="宋体" w:cs="宋体"/>
          <w:kern w:val="0"/>
          <w:szCs w:val="21"/>
        </w:rPr>
      </w:pPr>
      <w:r>
        <w:rPr>
          <w:rFonts w:hint="eastAsia" w:ascii="宋体" w:hAnsi="宋体" w:cs="宋体"/>
          <w:kern w:val="0"/>
          <w:szCs w:val="21"/>
        </w:rPr>
        <w:t>(三) 专业建设类</w:t>
      </w:r>
    </w:p>
    <w:tbl>
      <w:tblPr>
        <w:tblStyle w:val="5"/>
        <w:tblW w:w="829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5"/>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名    称</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国家级特色专业建设点</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省级特色专业建设点</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1</w:t>
            </w:r>
          </w:p>
        </w:tc>
      </w:tr>
    </w:tbl>
    <w:p>
      <w:pPr>
        <w:widowControl/>
        <w:spacing w:before="156" w:beforeLines="50" w:line="340" w:lineRule="atLeast"/>
        <w:ind w:left="481" w:leftChars="229" w:firstLine="105" w:firstLineChars="50"/>
        <w:jc w:val="left"/>
        <w:rPr>
          <w:rFonts w:hint="eastAsia" w:ascii="宋体" w:hAnsi="宋体" w:cs="宋体"/>
          <w:kern w:val="0"/>
          <w:szCs w:val="21"/>
        </w:rPr>
      </w:pPr>
      <w:r>
        <w:rPr>
          <w:rFonts w:hint="eastAsia" w:ascii="宋体" w:hAnsi="宋体" w:cs="宋体"/>
          <w:kern w:val="0"/>
          <w:szCs w:val="21"/>
        </w:rPr>
        <w:t>(四) 课程建设类</w:t>
      </w:r>
    </w:p>
    <w:tbl>
      <w:tblPr>
        <w:tblStyle w:val="5"/>
        <w:tblW w:w="829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5"/>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名    称</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国家级精品课程</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国家级双语教学示范课程</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省级精品课程</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省级双语教学示范课程</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095" w:type="dxa"/>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广东省高校思想政治理论课优质课程</w:t>
            </w:r>
          </w:p>
        </w:tc>
        <w:tc>
          <w:tcPr>
            <w:tcW w:w="420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bl>
    <w:p>
      <w:pPr>
        <w:widowControl/>
        <w:spacing w:line="340" w:lineRule="atLeast"/>
        <w:jc w:val="left"/>
        <w:rPr>
          <w:rFonts w:hint="eastAsia" w:ascii="宋体" w:hAnsi="宋体" w:cs="宋体"/>
          <w:kern w:val="0"/>
          <w:szCs w:val="21"/>
        </w:rPr>
      </w:pPr>
      <w:r>
        <w:rPr>
          <w:rFonts w:hint="eastAsia" w:ascii="宋体" w:hAnsi="宋体" w:cs="宋体"/>
          <w:kern w:val="0"/>
          <w:szCs w:val="21"/>
        </w:rPr>
        <w:t xml:space="preserve">    </w:t>
      </w:r>
    </w:p>
    <w:p>
      <w:pPr>
        <w:widowControl/>
        <w:spacing w:line="340" w:lineRule="atLeast"/>
        <w:ind w:firstLine="315" w:firstLineChars="150"/>
        <w:jc w:val="left"/>
        <w:rPr>
          <w:rFonts w:hint="eastAsia" w:ascii="宋体" w:hAnsi="宋体" w:cs="宋体"/>
          <w:kern w:val="0"/>
          <w:szCs w:val="21"/>
        </w:rPr>
      </w:pPr>
      <w:r>
        <w:rPr>
          <w:rFonts w:hint="eastAsia" w:ascii="宋体" w:hAnsi="宋体" w:cs="宋体"/>
          <w:kern w:val="0"/>
          <w:szCs w:val="21"/>
        </w:rPr>
        <w:t>(五) 教材及资源建设类</w:t>
      </w:r>
    </w:p>
    <w:tbl>
      <w:tblPr>
        <w:tblStyle w:val="5"/>
        <w:tblW w:w="829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15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名  称</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奖励等级</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国家级精品教材</w:t>
            </w:r>
          </w:p>
        </w:tc>
        <w:tc>
          <w:tcPr>
            <w:tcW w:w="3150" w:type="dxa"/>
            <w:vAlign w:val="center"/>
          </w:tcPr>
          <w:p>
            <w:pPr>
              <w:widowControl/>
              <w:spacing w:line="340" w:lineRule="atLeast"/>
              <w:jc w:val="center"/>
              <w:rPr>
                <w:rFonts w:hint="eastAsia" w:ascii="宋体" w:hAnsi="宋体" w:cs="宋体"/>
                <w:kern w:val="0"/>
                <w:szCs w:val="21"/>
              </w:rPr>
            </w:pP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国家级规划教材</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spacing w:line="340" w:lineRule="atLeast"/>
              <w:ind w:left="420"/>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副主编单位（每本）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spacing w:line="340" w:lineRule="atLeast"/>
              <w:ind w:left="420"/>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编委单位（每本）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省部级规划教材</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副主编单位（每本）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编委单位（每本）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协编教材</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副主编单位（每本）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spacing w:line="340" w:lineRule="atLeast"/>
              <w:jc w:val="center"/>
              <w:rPr>
                <w:rFonts w:hint="eastAsia" w:ascii="宋体" w:hAnsi="宋体" w:cs="宋体"/>
                <w:kern w:val="0"/>
                <w:szCs w:val="21"/>
              </w:rPr>
            </w:pPr>
            <w:r>
              <w:rPr>
                <w:rFonts w:hint="eastAsia" w:ascii="宋体" w:hAnsi="宋体" w:cs="宋体"/>
                <w:kern w:val="0"/>
                <w:szCs w:val="21"/>
              </w:rPr>
              <w:t>编委单位（每本）</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全国多媒体教育软件大奖赛</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一等奖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二等奖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三等奖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优秀奖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restart"/>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全国多媒体课件大赛</w:t>
            </w: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特等奖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一等奖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二等奖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三等奖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优秀奖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20" w:type="dxa"/>
            <w:vMerge w:val="continue"/>
            <w:vAlign w:val="center"/>
          </w:tcPr>
          <w:p>
            <w:pPr>
              <w:widowControl/>
              <w:spacing w:line="340" w:lineRule="atLeast"/>
              <w:jc w:val="center"/>
              <w:rPr>
                <w:rFonts w:hint="eastAsia" w:ascii="宋体" w:hAnsi="宋体" w:cs="宋体"/>
                <w:kern w:val="0"/>
                <w:szCs w:val="21"/>
              </w:rPr>
            </w:pPr>
          </w:p>
        </w:tc>
        <w:tc>
          <w:tcPr>
            <w:tcW w:w="315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最佳单项奖</w:t>
            </w:r>
          </w:p>
        </w:tc>
        <w:tc>
          <w:tcPr>
            <w:tcW w:w="262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0.15</w:t>
            </w:r>
          </w:p>
        </w:tc>
      </w:tr>
    </w:tbl>
    <w:p>
      <w:pPr>
        <w:widowControl/>
        <w:spacing w:before="156" w:beforeLines="50" w:line="340" w:lineRule="atLeast"/>
        <w:ind w:left="539"/>
        <w:jc w:val="left"/>
        <w:rPr>
          <w:rFonts w:hint="eastAsia" w:ascii="宋体" w:hAnsi="宋体" w:cs="宋体"/>
          <w:kern w:val="0"/>
          <w:szCs w:val="21"/>
        </w:rPr>
      </w:pPr>
      <w:r>
        <w:rPr>
          <w:rFonts w:hint="eastAsia" w:ascii="宋体" w:hAnsi="宋体" w:cs="宋体"/>
          <w:kern w:val="0"/>
          <w:szCs w:val="21"/>
        </w:rPr>
        <w:t>(六) 教师类</w:t>
      </w:r>
    </w:p>
    <w:tbl>
      <w:tblPr>
        <w:tblStyle w:val="5"/>
        <w:tblW w:w="829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0"/>
        <w:gridCol w:w="189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60" w:type="dxa"/>
            <w:gridSpan w:val="2"/>
            <w:vAlign w:val="top"/>
          </w:tcPr>
          <w:p>
            <w:pPr>
              <w:widowControl/>
              <w:spacing w:line="340" w:lineRule="atLeast"/>
              <w:jc w:val="center"/>
              <w:rPr>
                <w:rFonts w:hint="eastAsia" w:ascii="宋体" w:hAnsi="宋体" w:cs="宋体"/>
                <w:kern w:val="0"/>
                <w:szCs w:val="21"/>
              </w:rPr>
            </w:pPr>
            <w:r>
              <w:rPr>
                <w:rFonts w:hint="eastAsia" w:ascii="宋体" w:hAnsi="宋体" w:cs="宋体"/>
                <w:kern w:val="0"/>
                <w:szCs w:val="21"/>
              </w:rPr>
              <w:t>名   称</w:t>
            </w:r>
          </w:p>
        </w:tc>
        <w:tc>
          <w:tcPr>
            <w:tcW w:w="2835" w:type="dxa"/>
            <w:vAlign w:val="top"/>
          </w:tcPr>
          <w:p>
            <w:pPr>
              <w:widowControl/>
              <w:spacing w:line="340" w:lineRule="atLeast"/>
              <w:jc w:val="center"/>
              <w:rPr>
                <w:rFonts w:hint="eastAsia" w:ascii="宋体" w:hAnsi="宋体" w:cs="宋体"/>
                <w:kern w:val="0"/>
                <w:szCs w:val="21"/>
              </w:rPr>
            </w:pPr>
            <w:r>
              <w:rPr>
                <w:rFonts w:hint="eastAsia" w:ascii="宋体" w:hAnsi="宋体" w:cs="宋体"/>
                <w:kern w:val="0"/>
                <w:szCs w:val="21"/>
              </w:rPr>
              <w:t>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60" w:type="dxa"/>
            <w:gridSpan w:val="2"/>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国家级教学名师</w:t>
            </w:r>
          </w:p>
        </w:tc>
        <w:tc>
          <w:tcPr>
            <w:tcW w:w="283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60" w:type="dxa"/>
            <w:gridSpan w:val="2"/>
            <w:vAlign w:val="center"/>
          </w:tcPr>
          <w:p>
            <w:pPr>
              <w:widowControl/>
              <w:spacing w:line="340" w:lineRule="atLeast"/>
              <w:rPr>
                <w:rFonts w:hint="eastAsia" w:ascii="宋体" w:hAnsi="宋体" w:cs="宋体"/>
                <w:kern w:val="0"/>
                <w:szCs w:val="21"/>
              </w:rPr>
            </w:pPr>
            <w:r>
              <w:rPr>
                <w:rFonts w:hint="eastAsia" w:ascii="宋体" w:hAnsi="宋体" w:cs="宋体"/>
                <w:kern w:val="0"/>
                <w:szCs w:val="21"/>
              </w:rPr>
              <w:t>省级教学名师</w:t>
            </w:r>
          </w:p>
        </w:tc>
        <w:tc>
          <w:tcPr>
            <w:tcW w:w="283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570" w:type="dxa"/>
            <w:vMerge w:val="restart"/>
            <w:vAlign w:val="center"/>
          </w:tcPr>
          <w:p>
            <w:pPr>
              <w:widowControl/>
              <w:spacing w:line="340" w:lineRule="atLeast"/>
              <w:rPr>
                <w:rFonts w:hint="eastAsia" w:ascii="宋体" w:hAnsi="宋体" w:cs="宋体"/>
                <w:kern w:val="0"/>
                <w:szCs w:val="21"/>
              </w:rPr>
            </w:pPr>
            <w:r>
              <w:rPr>
                <w:rFonts w:hint="eastAsia" w:ascii="宋体" w:hAnsi="宋体" w:cs="宋体"/>
                <w:kern w:val="0"/>
                <w:szCs w:val="21"/>
              </w:rPr>
              <w:t>广东省高校思想政治理论课青年教师教学基本功比赛</w:t>
            </w:r>
          </w:p>
        </w:tc>
        <w:tc>
          <w:tcPr>
            <w:tcW w:w="189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一等奖</w:t>
            </w:r>
          </w:p>
        </w:tc>
        <w:tc>
          <w:tcPr>
            <w:tcW w:w="283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570" w:type="dxa"/>
            <w:vMerge w:val="continue"/>
            <w:vAlign w:val="center"/>
          </w:tcPr>
          <w:p>
            <w:pPr>
              <w:widowControl/>
              <w:spacing w:line="340" w:lineRule="atLeast"/>
              <w:jc w:val="center"/>
              <w:rPr>
                <w:rFonts w:hint="eastAsia" w:ascii="宋体" w:hAnsi="宋体" w:cs="宋体"/>
                <w:kern w:val="0"/>
                <w:szCs w:val="21"/>
              </w:rPr>
            </w:pPr>
          </w:p>
        </w:tc>
        <w:tc>
          <w:tcPr>
            <w:tcW w:w="189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二等奖</w:t>
            </w:r>
          </w:p>
        </w:tc>
        <w:tc>
          <w:tcPr>
            <w:tcW w:w="283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570" w:type="dxa"/>
            <w:vMerge w:val="continue"/>
            <w:vAlign w:val="center"/>
          </w:tcPr>
          <w:p>
            <w:pPr>
              <w:widowControl/>
              <w:spacing w:line="340" w:lineRule="atLeast"/>
              <w:jc w:val="center"/>
              <w:rPr>
                <w:rFonts w:hint="eastAsia" w:ascii="宋体" w:hAnsi="宋体" w:cs="宋体"/>
                <w:kern w:val="0"/>
                <w:szCs w:val="21"/>
              </w:rPr>
            </w:pPr>
          </w:p>
        </w:tc>
        <w:tc>
          <w:tcPr>
            <w:tcW w:w="1890"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三等奖</w:t>
            </w:r>
          </w:p>
        </w:tc>
        <w:tc>
          <w:tcPr>
            <w:tcW w:w="2835" w:type="dxa"/>
            <w:vAlign w:val="center"/>
          </w:tcPr>
          <w:p>
            <w:pPr>
              <w:widowControl/>
              <w:spacing w:line="340" w:lineRule="atLeast"/>
              <w:jc w:val="center"/>
              <w:rPr>
                <w:rFonts w:hint="eastAsia" w:ascii="宋体" w:hAnsi="宋体" w:cs="宋体"/>
                <w:kern w:val="0"/>
                <w:szCs w:val="21"/>
              </w:rPr>
            </w:pPr>
            <w:r>
              <w:rPr>
                <w:rFonts w:hint="eastAsia" w:ascii="宋体" w:hAnsi="宋体" w:cs="宋体"/>
                <w:kern w:val="0"/>
                <w:szCs w:val="21"/>
              </w:rPr>
              <w:t>0.1</w:t>
            </w:r>
          </w:p>
        </w:tc>
      </w:tr>
    </w:tbl>
    <w:p>
      <w:pPr>
        <w:widowControl/>
        <w:spacing w:before="156" w:beforeLines="50" w:line="340" w:lineRule="atLeast"/>
        <w:ind w:firstLine="420" w:firstLineChars="200"/>
        <w:jc w:val="left"/>
        <w:rPr>
          <w:rFonts w:hint="eastAsia" w:ascii="宋体" w:hAnsi="宋体" w:cs="宋体"/>
          <w:kern w:val="0"/>
          <w:szCs w:val="21"/>
        </w:rPr>
      </w:pPr>
      <w:r>
        <w:rPr>
          <w:rFonts w:hint="eastAsia" w:ascii="宋体" w:hAnsi="宋体" w:cs="宋体"/>
          <w:kern w:val="0"/>
          <w:szCs w:val="21"/>
        </w:rPr>
        <w:t>第七条  以上各项目若我院属于合作单位参与完成，并获得国家级、省级立项或奖励的，排名第二、三、四、五、六单位的分别按30%、25%、20%、15%、10%给予奖励。</w:t>
      </w:r>
    </w:p>
    <w:p>
      <w:pPr>
        <w:widowControl/>
        <w:spacing w:line="340" w:lineRule="atLeast"/>
        <w:ind w:firstLine="420" w:firstLineChars="200"/>
        <w:jc w:val="left"/>
        <w:rPr>
          <w:rFonts w:hint="eastAsia" w:ascii="宋体" w:hAnsi="宋体" w:cs="宋体"/>
          <w:kern w:val="0"/>
          <w:szCs w:val="21"/>
        </w:rPr>
      </w:pPr>
      <w:r>
        <w:rPr>
          <w:rFonts w:hint="eastAsia" w:ascii="宋体" w:hAnsi="宋体" w:cs="宋体"/>
          <w:kern w:val="0"/>
          <w:szCs w:val="21"/>
        </w:rPr>
        <w:t>第八条  其他获得国家或省教育主管部门批准的教学建设项目或奖励，由教务处对获奖进行审核并参照上述标准提出奖励金额建议，报主管教学院领导同意后，经院长办公会审核决定。</w:t>
      </w:r>
    </w:p>
    <w:p>
      <w:pPr>
        <w:widowControl/>
        <w:spacing w:line="340" w:lineRule="atLeast"/>
        <w:ind w:firstLine="420" w:firstLineChars="200"/>
        <w:jc w:val="left"/>
        <w:rPr>
          <w:rFonts w:hint="eastAsia" w:ascii="宋体" w:hAnsi="宋体" w:cs="宋体"/>
          <w:kern w:val="0"/>
          <w:szCs w:val="21"/>
        </w:rPr>
      </w:pPr>
      <w:r>
        <w:rPr>
          <w:rFonts w:hint="eastAsia" w:ascii="宋体" w:hAnsi="宋体" w:cs="宋体"/>
          <w:kern w:val="0"/>
          <w:szCs w:val="21"/>
        </w:rPr>
        <w:t>第</w:t>
      </w:r>
      <w:r>
        <w:rPr>
          <w:rFonts w:hint="eastAsia" w:ascii="宋体" w:hAnsi="宋体" w:cs="宋体"/>
          <w:bCs/>
          <w:color w:val="000000"/>
          <w:kern w:val="0"/>
          <w:szCs w:val="21"/>
        </w:rPr>
        <w:t>九</w:t>
      </w:r>
      <w:r>
        <w:rPr>
          <w:rFonts w:hint="eastAsia" w:ascii="宋体" w:hAnsi="宋体" w:cs="宋体"/>
          <w:kern w:val="0"/>
          <w:szCs w:val="21"/>
        </w:rPr>
        <w:t>条　以上各奖励项目，若属在同类评审中同时获得两个及以上级别奖励或立项的则按最高金额进行奖励，不重复授奖；若非同一奖励年度，则后续年度只奖励差额部分。</w:t>
      </w:r>
    </w:p>
    <w:p>
      <w:pPr>
        <w:widowControl/>
        <w:spacing w:before="156" w:beforeLines="50" w:after="156" w:afterLines="50" w:line="340" w:lineRule="atLeast"/>
        <w:jc w:val="center"/>
        <w:rPr>
          <w:rFonts w:hint="eastAsia" w:ascii="宋体" w:hAnsi="宋体" w:cs="宋体"/>
          <w:bCs/>
          <w:color w:val="000000"/>
          <w:kern w:val="0"/>
          <w:sz w:val="28"/>
          <w:szCs w:val="28"/>
        </w:rPr>
      </w:pPr>
      <w:bookmarkStart w:id="0" w:name="_GoBack"/>
      <w:bookmarkEnd w:id="0"/>
      <w:r>
        <w:rPr>
          <w:rFonts w:hint="eastAsia" w:ascii="宋体" w:hAnsi="宋体" w:cs="宋体"/>
          <w:bCs/>
          <w:color w:val="000000"/>
          <w:kern w:val="0"/>
          <w:sz w:val="28"/>
          <w:szCs w:val="28"/>
        </w:rPr>
        <w:t>第四章  附 则</w:t>
      </w:r>
    </w:p>
    <w:p>
      <w:pPr>
        <w:widowControl/>
        <w:spacing w:line="340" w:lineRule="atLeast"/>
        <w:ind w:firstLine="420" w:firstLineChars="200"/>
        <w:jc w:val="left"/>
        <w:rPr>
          <w:rFonts w:hint="eastAsia" w:ascii="宋体" w:hAnsi="宋体" w:cs="宋体"/>
          <w:color w:val="000000"/>
          <w:kern w:val="0"/>
          <w:szCs w:val="21"/>
        </w:rPr>
      </w:pPr>
      <w:r>
        <w:rPr>
          <w:rFonts w:hint="eastAsia" w:ascii="宋体" w:hAnsi="宋体" w:cs="宋体"/>
          <w:bCs/>
          <w:color w:val="000000"/>
          <w:kern w:val="0"/>
          <w:szCs w:val="21"/>
        </w:rPr>
        <w:t>第十条</w:t>
      </w:r>
      <w:r>
        <w:rPr>
          <w:rFonts w:hint="eastAsia" w:ascii="宋体" w:hAnsi="宋体" w:cs="宋体"/>
          <w:color w:val="000000"/>
          <w:kern w:val="0"/>
          <w:szCs w:val="21"/>
        </w:rPr>
        <w:t>  本办法中涉及到的个人所得税由个人负责。</w:t>
      </w:r>
    </w:p>
    <w:p>
      <w:pPr>
        <w:widowControl/>
        <w:spacing w:line="340" w:lineRule="atLeast"/>
        <w:ind w:firstLine="420" w:firstLineChars="200"/>
        <w:jc w:val="left"/>
        <w:rPr>
          <w:rFonts w:hint="eastAsia" w:ascii="宋体" w:hAnsi="宋体" w:cs="宋体"/>
          <w:color w:val="000000"/>
          <w:kern w:val="0"/>
          <w:szCs w:val="21"/>
        </w:rPr>
      </w:pPr>
      <w:r>
        <w:rPr>
          <w:rFonts w:hint="eastAsia" w:ascii="宋体" w:hAnsi="宋体" w:cs="宋体"/>
          <w:bCs/>
          <w:color w:val="000000"/>
          <w:kern w:val="0"/>
          <w:szCs w:val="21"/>
        </w:rPr>
        <w:t>第十一条</w:t>
      </w:r>
      <w:r>
        <w:rPr>
          <w:rFonts w:hint="eastAsia" w:ascii="宋体" w:hAnsi="宋体" w:cs="宋体"/>
          <w:color w:val="000000"/>
          <w:kern w:val="0"/>
          <w:szCs w:val="21"/>
        </w:rPr>
        <w:t xml:space="preserve">  本办法自公布之日起执行，从2006年开始奖励。本办法由教务处负责解释。</w:t>
      </w:r>
    </w:p>
    <w:p>
      <w:pPr>
        <w:spacing w:line="340" w:lineRule="atLeast"/>
        <w:rPr>
          <w:rFonts w:hint="eastAsia" w:ascii="宋体" w:hAnsi="宋体"/>
          <w:szCs w:val="21"/>
        </w:rPr>
      </w:pPr>
    </w:p>
    <w:p>
      <w:pPr>
        <w:spacing w:line="340" w:lineRule="atLeast"/>
        <w:ind w:right="160" w:firstLine="7140" w:firstLineChars="3400"/>
        <w:rPr>
          <w:rFonts w:hint="eastAsia" w:ascii="宋体" w:hAnsi="宋体"/>
          <w:szCs w:val="21"/>
        </w:rPr>
      </w:pPr>
    </w:p>
    <w:p>
      <w:pPr>
        <w:spacing w:line="340" w:lineRule="atLeast"/>
        <w:ind w:right="160" w:firstLine="7140" w:firstLineChars="3400"/>
        <w:rPr>
          <w:rFonts w:hint="eastAsia" w:ascii="宋体" w:hAnsi="宋体"/>
          <w:szCs w:val="21"/>
        </w:rPr>
      </w:pPr>
    </w:p>
    <w:p>
      <w:pPr>
        <w:spacing w:line="340" w:lineRule="atLeast"/>
        <w:ind w:right="160" w:firstLine="7140" w:firstLineChars="3400"/>
        <w:rPr>
          <w:rFonts w:hint="eastAsia" w:ascii="宋体" w:hAnsi="宋体"/>
          <w:szCs w:val="21"/>
        </w:rPr>
      </w:pPr>
    </w:p>
    <w:p>
      <w:pPr>
        <w:spacing w:line="340" w:lineRule="atLeast"/>
        <w:ind w:right="160" w:firstLine="6090" w:firstLineChars="2900"/>
        <w:rPr>
          <w:rFonts w:hint="eastAsia" w:ascii="宋体" w:hAnsi="宋体"/>
          <w:szCs w:val="21"/>
        </w:rPr>
      </w:pPr>
      <w:r>
        <w:rPr>
          <w:rFonts w:hint="eastAsia" w:ascii="宋体" w:hAnsi="宋体"/>
          <w:szCs w:val="21"/>
        </w:rPr>
        <w:t>广东药学院</w:t>
      </w:r>
    </w:p>
    <w:p>
      <w:pPr>
        <w:spacing w:line="340" w:lineRule="atLeast"/>
        <w:ind w:firstLine="5250" w:firstLineChars="2500"/>
        <w:rPr>
          <w:rFonts w:hint="eastAsia" w:ascii="宋体" w:hAnsi="宋体"/>
          <w:szCs w:val="21"/>
        </w:rPr>
      </w:pPr>
      <w:r>
        <w:rPr>
          <w:rFonts w:hint="eastAsia" w:ascii="宋体" w:hAnsi="宋体"/>
          <w:szCs w:val="21"/>
        </w:rPr>
        <w:t>二○○九年二月二十三日</w:t>
      </w:r>
    </w:p>
    <w:p>
      <w:pPr>
        <w:spacing w:line="360" w:lineRule="atLeast"/>
        <w:jc w:val="center"/>
        <w:rPr>
          <w:rFonts w:hint="eastAsia" w:ascii="方正黑体简体" w:eastAsia="方正黑体简体"/>
          <w:b/>
          <w:sz w:val="40"/>
          <w:szCs w:val="4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D6BFA"/>
    <w:multiLevelType w:val="multilevel"/>
    <w:tmpl w:val="248D6BFA"/>
    <w:lvl w:ilvl="0" w:tentative="0">
      <w:start w:val="2"/>
      <w:numFmt w:val="japaneseCounting"/>
      <w:lvlText w:val="第%1章"/>
      <w:lvlJc w:val="left"/>
      <w:pPr>
        <w:tabs>
          <w:tab w:val="left" w:pos="1125"/>
        </w:tabs>
        <w:ind w:left="1125" w:hanging="1125"/>
      </w:pPr>
      <w:rPr>
        <w:rFonts w:hint="eastAsia" w:ascii="黑体" w:eastAsia="黑体"/>
        <w:b w:val="0"/>
      </w:rPr>
    </w:lvl>
    <w:lvl w:ilvl="1" w:tentative="0">
      <w:start w:val="1"/>
      <w:numFmt w:val="japaneseCounting"/>
      <w:lvlText w:val="%2、"/>
      <w:lvlJc w:val="left"/>
      <w:pPr>
        <w:tabs>
          <w:tab w:val="left" w:pos="840"/>
        </w:tabs>
        <w:ind w:left="840" w:hanging="480"/>
      </w:pPr>
      <w:rPr>
        <w:rFonts w:hint="default"/>
        <w:lang w:val="en-U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63E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2018-06-05T08:34:22Z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